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single" w:color="DDDDDD" w:sz="6" w:space="3"/>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cs="宋体"/>
          <w:b/>
          <w:bCs w:val="0"/>
          <w:i w:val="0"/>
          <w:caps w:val="0"/>
          <w:color w:val="000000" w:themeColor="text1"/>
          <w:spacing w:val="0"/>
          <w:sz w:val="32"/>
          <w:szCs w:val="32"/>
          <w:shd w:val="clear" w:fill="FFFFFF"/>
          <w:lang w:eastAsia="zh-CN"/>
          <w14:textFill>
            <w14:solidFill>
              <w14:schemeClr w14:val="tx1"/>
            </w14:solidFill>
          </w14:textFill>
        </w:rPr>
      </w:pPr>
      <w:r>
        <w:rPr>
          <w:rFonts w:hint="eastAsia" w:cs="宋体"/>
          <w:b/>
          <w:bCs w:val="0"/>
          <w:i w:val="0"/>
          <w:caps w:val="0"/>
          <w:color w:val="000000" w:themeColor="text1"/>
          <w:spacing w:val="0"/>
          <w:sz w:val="32"/>
          <w:szCs w:val="32"/>
          <w:shd w:val="clear" w:fill="FFFFFF"/>
          <w:lang w:eastAsia="zh-CN"/>
          <w14:textFill>
            <w14:solidFill>
              <w14:schemeClr w14:val="tx1"/>
            </w14:solidFill>
          </w14:textFill>
        </w:rPr>
        <w:t>试论毛泽东诗词折射的井冈山精神</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center"/>
        <w:textAlignment w:val="auto"/>
        <w:rPr>
          <w:rFonts w:hint="eastAsia"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cs="宋体"/>
          <w:b/>
          <w:bCs w:val="0"/>
          <w:i w:val="0"/>
          <w:caps w:val="0"/>
          <w:color w:val="000000" w:themeColor="text1"/>
          <w:spacing w:val="0"/>
          <w:sz w:val="24"/>
          <w:szCs w:val="24"/>
          <w:shd w:val="clear" w:fill="FFFFFF"/>
          <w:lang w:val="en-US" w:eastAsia="zh-CN"/>
          <w14:textFill>
            <w14:solidFill>
              <w14:schemeClr w14:val="tx1"/>
            </w14:solidFill>
          </w14:textFill>
        </w:rPr>
        <w:t>　　冷清波　刘晓峰　宋卫　熊艳春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t>(本文在2016年学校“跨越时空的井冈山精神”理论征文活动中获一等奖)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摘要：</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文从毛泽东1927～1934年的１２首诗中透析井冈山斗争中蕴含的精神，结合对井冈山斗争的历程，从中得出如下结论：强烈的忧患意识、坚定的理想信念、豁达的乐观情怀、务实的道路抉择、艰苦奋斗攻难关、依靠群众求胜利是井冈山精神所在，与理论界和政界的的研究并无相悖，只是视角不同。文中提出了如何传播和弘扬井冈山精神的相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　　关键词：</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井冈山精神；诗词；毛泽东；建议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s="宋体"/>
          <w:b w:val="0"/>
          <w:bCs/>
          <w:i w:val="0"/>
          <w:caps w:val="0"/>
          <w:color w:val="000000" w:themeColor="text1"/>
          <w:spacing w:val="0"/>
          <w:sz w:val="24"/>
          <w:szCs w:val="24"/>
          <w:shd w:val="clear" w:fill="FFFFFF"/>
          <w:lang w:eastAsia="zh-CN"/>
          <w14:textFill>
            <w14:solidFill>
              <w14:schemeClr w14:val="tx1"/>
            </w14:solidFill>
          </w14:textFill>
        </w:rPr>
      </w:pPr>
      <w:r>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t>精神</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实质</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要旨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，即</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事物的精微所在。</w:t>
      </w:r>
      <w:r>
        <w:rPr>
          <w:rFonts w:hint="eastAsia" w:ascii="宋体" w:hAnsi="宋体" w:eastAsia="宋体" w:cs="宋体"/>
          <w:b w:val="0"/>
          <w:bCs/>
          <w:i w:val="0"/>
          <w:caps w:val="0"/>
          <w:color w:val="333333"/>
          <w:spacing w:val="0"/>
          <w:sz w:val="24"/>
          <w:szCs w:val="24"/>
          <w:shd w:val="clear" w:fill="FFFFFF"/>
        </w:rPr>
        <w:t>哲学上，精神的内涵是过去事和物的记录及此记录的重演</w:t>
      </w:r>
      <w:r>
        <w:rPr>
          <w:rFonts w:hint="eastAsia" w:cs="宋体"/>
          <w:b w:val="0"/>
          <w:bCs/>
          <w:i w:val="0"/>
          <w:caps w:val="0"/>
          <w:color w:val="333333"/>
          <w:spacing w:val="0"/>
          <w:sz w:val="24"/>
          <w:szCs w:val="24"/>
          <w:shd w:val="clear" w:fill="FFFFFF"/>
          <w:lang w:eastAsia="zh-CN"/>
        </w:rPr>
        <w:t>；换言之精神即</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人的意识、思维活动和一般的心理状态</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为物质运动的最高产物。</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井冈山精神是中国共产党领导人民群众在创建井冈山革命根据地的斗争中，在开辟中国特色革命道路的伟大实践中，用鲜血和生命培育出的无产阶级革命精神，是井冈山革命精神、优良传统、优良作风的总称</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1</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t>2001年江泽民同志视察江西时，概括井冈山精神的内涵为“坚定信心、艰苦奋斗、实事求是、敢闯新路、依靠群众、勇于胜利”24个字。2016年2月，习近平总书记在井冈山考察时指出“我们要结合新的时代条件，坚持坚定执着追理想、实事求是闯新路、艰苦奋斗攻难关、依靠群众求胜利，让井冈山精神放射出新的时代光芒。”江泽民同志和习近平总书记对井冈山精神科学内涵的概括高度凝炼，既一脉相承，又与时俱进。本文拟在学界研究和党政领导概括的基础上，从毛泽东同志诗词的视角出发，透视井冈山精神的</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精微所在</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1.毛泽东在井冈山创作的诗词概要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1927年到1931年是中国土地革命时期，工农革命蓬勃发展，共产党利用军阀战争的机会，不断壮大革命势力，中国革命又出现了新的高潮。在这期间，毛泽东相继创作了《西江月·井冈山》《清平乐·蒋桂战争》《</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"http://baike.so.com/doc/3397325.html"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采桑子·重阳</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》《如梦令·元旦》《减字木兰花·广昌路上》等作品，全面反映了这一期间欣欣向荣、不断胜利的革命形势。</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此后</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毛泽东写</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下</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了《渔家傲·反第一次大“围剿”》《渔家傲·反第二次大围剿》《菩萨蛮·大柏地》《清平乐·会昌》，表现了人民武装力量反击反革命围剿并不断胜利的战斗场景。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几篇</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作</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品构成了一组气势雄伟</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笔力</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万</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钧的井冈山道路的胜利凯歌。它们是伟大革命领袖的战斗豪情与杰出诗人的创作激情浑然一体结成的革命诗词的奇葩。</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从毛泽东诗词中探究井冈山精神</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长期以来，学术界有一种根深蒂固的误解，即认为毛泽东诗词仅仅是毛泽东个人的情感经验面貌。我们必须明白，毛泽东诗词作为中国革命的理性史和情感史的深刻价值，恰恰在于它是由高度典型的个体经验情感所表达的革命这一实践主体的历史面貌</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2</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。为此，我们可以直接或间接地从毛泽东诗词中探究井冈山精神。</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2.1强烈的忧患意识</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1927</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年</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11</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日，国民党军队缴了上海工人纠察队的枪</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次日，又向罢工示威的工人开枪。在长沙，</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21</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日，何键、许克详开始捕杀共产党员，中共湖南省委退让，取消了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10</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万农军进攻长沙的计划。</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"http://www.shicimingju.com/chaxun/zuozhe/91.html" \t "http://www.shicimingju.com/chaxun/list/_blank"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当时在武汉办农民运动讲习所</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，他</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准备应付突然事变，把妻子和三个孩子送回了湖南。</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1927</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年</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15</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"http://www.shicimingju.com/chaxun/zuozhe/4751.html" \t "http://www.shicimingju.com/chaxun/list/_blank"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汪精卫</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在武汉宣布“清党”，国共两党彻底分裂</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[3]</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大革命失败的前夕，毛泽东春季途经武汉，怀以苍凉悲壮之情登上黄鹤楼一吐心曲</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，写下了</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《菩萨蛮·黄鹤楼》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烟雨莽苍苍，龟蛇锁大江。</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写出了对革命前途的焦虑</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把酒酹滔滔，心潮逐浪高!</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把酒浇在滔滔的江水里，内心激动的思潮好像追逐江中汹涌的波涛，表示对反动势力斗争到底的决心和对未来充满信心，对革命抱有坚定信念的乐观。</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1927年8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号</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召开</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党的紧急会议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（八七会议）</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，毛泽东提出了"枪杆子里出政权"的著名思想</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会议确定以</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"http://baike.so.com/doc/5430679-5668963.html"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土地革命</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和以武装反抗</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"http://baike.so.com/doc/222027-234856.html"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国民党反动派</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的屠杀政策为党在新时期的总方针，就国共两党关系、土地革命、</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"http://baike.so.com/doc/5897026-6109920.html"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武装斗争</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等问题进行了讨论，并把发动农民举行秋收起义作为党在当时的最主要任务。随即毛泽东以中央特派员的身份回</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"http://baike.so.com/doc/4027470-4225036.html"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湖南</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1927年9</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9</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驻在修水的原武汉政府警卫团（团长卢德铭是中共党员），安源煤矿工人，平江、浏阳农民义勇军联合举行秋收暴动。毛泽东当时在铜鼓指挥平江、浏阳农民义勇军。暴动队伍计划先攻克平江、浏阳，然后从南北两路包抄长沙，但在平江、浏阳先后失利</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4</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此时写下</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《西江月·秋收起义》</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地主重重压迫，农民个个同仇。秋收时节暮云愁，霹雳一声暴动。</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”此词高度概括了秋收起义的情况，揭示了农民暴动的根本原因和正义性，抒发了对工农革命武装的赞扬之情。</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以上两首词折射出</w:t>
      </w:r>
      <w:r>
        <w:rPr>
          <w:rFonts w:hint="eastAsia" w:cs="宋体"/>
          <w:b w:val="0"/>
          <w:bCs/>
          <w:i w:val="0"/>
          <w:caps w:val="0"/>
          <w:color w:val="000000" w:themeColor="text1"/>
          <w:spacing w:val="0"/>
          <w:sz w:val="24"/>
          <w:szCs w:val="24"/>
          <w:shd w:val="clear" w:fill="FFFFFF"/>
          <w:lang w:eastAsia="zh-CN"/>
          <w14:textFill>
            <w14:solidFill>
              <w14:schemeClr w14:val="tx1"/>
            </w14:solidFill>
          </w14:textFill>
        </w:rPr>
        <w:t>中国共产党人</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救国忧民的强烈忧患意识。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2.2坚定的理想信念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textAlignment w:val="auto"/>
        <w:rPr>
          <w:rFonts w:hint="default"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1929年3月至5月，</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"http://baike.so.com/doc/5349139-5584595.html"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蒋介石</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与桂系军阀</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"http://baike.so.com/doc/5368117-5603905.html"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李宗仁</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"http://baike.so.com/doc/5393517-5630484.html"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白崇禧</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之间爆发了战争。朱德、毛泽东率领红四军利用这种有利时机，在赣南开展武装斗争和发动群众，进行土地革命，先后占领兴国、宁都、瑞金、于都、广昌等县，接着又挺进闽西，占领长汀城。5月至6月，朱毛红军再度入闽西，曾三下龙岩城。9月21日，红四军攻占上杭，继而攻占武平，永定守敌弃城而逃。敌人对闽西的"会剿"以失败告终。10月，蒋桂战争再次爆发</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朱毛红军第三次入闽，攻占上杭。至此，闽西革命根据地已拥有长汀、上杭、连城、永定、龙岩、武平、宁洋、漳平等地，数百里区域近百万人民获得解放，根据地各县普遍建立了苏维埃政权，开展了土地革命，革命力量得以发展</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5</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毛泽东为这次胜利所振奋，于是《清平乐·蒋桂战争》这首词又在马背上哼成了。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红旗越过汀江，直下龙岩上杭。收拾金瓯一片，分田分地真忙。</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”全词形象地体现了毛泽东根据</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"http://baike.baidu.com/view/42995.htm" \t "http://baike.baidu.com/_blank"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半殖民地半封建社会</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的中国国情，利用白色政权自相残害的分裂和战争，实行工农武装割据，建立和巩固扩大红色政权</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，最后夺取全国胜利的光辉思想。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将上词与毛泽东的</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《菩萨蛮·大柏地》</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"http://baike.so.com/doc/3397325.html"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采桑子·重阳</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《减字木兰花·广昌路上》</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《蝶恋花·从汀州向长沙》</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串联起来阅读，中国共产党人对中国革命光明前途的坚定信念和不懈追求让人惊叹。“</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装点此关山，今朝更好看。</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一年一度秋风劲，不似春光，胜似春光，寥廓江天万里霜。</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头上高山，风卷红旗过大关。</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命令昨颁，十万工农下吉安。</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六月天兵征腐恶，万丈长缨要把鲲鹏缚。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百万工农齐踊跃，席卷江西直捣湘和鄂。国际悲歌歌一曲，狂飙为我从天落。</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共产主义的理想与坚定不移的信念</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跃然纸上</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，正是井冈山军民一切力量的源泉，也是井冈山精神的灵魂所系</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2.3豁达的乐观情怀</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1928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年</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８</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月，湖南省委特派员杜修经命令红</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团和</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29</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团下井冈山开赴湘南。赣军乘虚进攻井冈山。</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30</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个团的敌军攻打黄洋界。当时山上只有红</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31</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团</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的两个连。打到下午，红军子弹所剩无几，靠石块御敌。在此关键时刻，红军扛来一门坏的迫击炮和仅有的三发炮弹。前二发都是哑炮，第三发不但响了，而且恰巧落在敌军指挥部，上山之敌慌忙撤退。红军在哨口守了一夜，第二天发现山下空无人影，原来敌军以为红军主力</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团（只有南昌起义的正规军改编的</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28</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团有炮）已经回到井冈山，因此连夜撤走了</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br w:type="textWrapping"/>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1928年9月5日，毛泽东听取黄洋界保卫战的情况汇报后，欣然命笔写出《西江月·井冈山》。“山下旌旗在望</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，山头鼓角相闻。敌军围困万千重，我自岿然不动。早已森严壁垒，更加众志成城。黄洋界上炮声隆，报道敌军宵遁。</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”这首词通过对</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"http://baike.baidu.com/view/381094.htm" \t "http://baike.baidu.com/_blank"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黄洋界保卫战</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的描写，满怀激情地歌颂了井冈山将士坚守根据地的英勇斗争精神，表达了诗人从容不迫，以不变应万变，运筹帷幄之中，决胜千里之外的天才般的战略战术思想。</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它高度概括了整个井冈山斗争的形势和特点，敌强我弱，敌众我寡，但红军民最终能以少胜多、以弱胜强。生动地表明坚持农村革命根据地的斗争对于争取革命胜利的重要意义</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6</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，洋溢着革命乐观主义精神。</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4务实的道路抉择</w:t>
      </w:r>
    </w:p>
    <w:p>
      <w:pPr>
        <w:keepNext w:val="0"/>
        <w:keepLines w:val="0"/>
        <w:pageBreakBefore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1927年9</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日，暴动队伍退至浏阳文家市，毛说服众人向江西萍乡撤退</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；10</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月，队伍被毛泽东带上井冈山</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。1927年9月29日</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秋收起义</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军到达三湾，推行了中国革命史上著名的“三湾改编”，推行“支部建在连上”的军队党建工作创新</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7</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。经过“三湾改编”以后，毛泽东作出</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建立井冈山革命基地</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的决定。在井冈山期间，以毛泽东为首的中国共产党提出了“建立农村根据地，以农村包围城市，最后夺取城市的道路”的新主张。</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为中国革命打开了新的局面，使中国革命走上了正轨</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1929年12月28日至30日党中央召开了</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"http://baike.so.com/doc/6346589-6560214.html"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古田会议</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，整顿了红军，整肃了不同意见。就在</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"http://baike.so.com/doc/5337877-5573316.html"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古田</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会议召开前夕，</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"http://baike.so.com/doc/5349139-5584595.html"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蒋介石</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率领江西军阀金汉鼎、福建军阀刘和鼎、广东军阀陈维新等，向闽西苏区发动了"围剿"。为了粉碎围剿，红四军开始了从福建向江西的战略转移，毛泽东、</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"http://baike.so.com/doc/5352081-5587539.html"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朱德</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率领部队开赴江西开展游击战争。这次红军挺进江西正值新年，士气十分高涨</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毛泽东为欢庆这个胜利</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写下《</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如梦令·元旦</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》：“宁化、清流、归化</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，路隘林深苔滑。今日向何方，直指武夷山下。山下山下，风展红旗如画。</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红军经过这些地方向武夷山进军，困难非常多，但红军为了打破国民党“会剿”，甩掉敌人，尽快取得战略转移的胜利，才决定要走这样一条敌人预料不到的、比较艰难的路。此词写出红军胜利实现转移，大军云集在武夷山的山脚下那种盛大而雄伟的场面</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8</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。这从一个侧面展示出革命武装斗争光明灿烂的前景，讴歌了红军战士无坚不摧、胜利前进、实事求是、勇闯新路的革命精神</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2.5艰苦奋斗攻难关</w:t>
      </w:r>
    </w:p>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为了人民的利益和革命的需要，勇于吃大苦、耐大劳，生命不息，战斗不止，直至夺取胜利，这是井冈山精神的重要内容，也是取得井冈山斗争胜利的有力支撑。毛泽东、朱德等党和红军</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"http://baike.so.com/doc/370077-392015.html" \t "http://baike.so.com/doc/_blank"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领导人</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身先士卒、以身作则，带领井冈山军民自己动手挑粮、种菜、编草鞋、挖草药、熬硝盐、办军械厂，克服各种困难艰险，打破重重包围封锁，巩固和扩大了井冈山革命根据地。井冈山斗争时期，边界六县一山牺牲的革命烈士共有4.8万人。其中，有名有姓的烈士计有15744人，无名烈士却有32300余人。</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由此可见</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革命路途充满着</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多少</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艰辛和坎坷</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即使是个人受到挫折和不公正的对待，共产党人仍然</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对革命前途的</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满</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信心</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1934年4月下旬</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毛泽东被排挤出了领导集团，在</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"http://baike.baidu.com/view/228474.htm" \t "http://baike.baidu.com/_blank"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会昌</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“养病”</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在粤</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"http://baike.baidu.com/subview/65525/11169835.htm" \t "http://baike.baidu.com/_blank" </w:instrTex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赣</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省的干部的陪同之下，登上会昌城西北的高峰会昌山（又名岚山岭）。毛泽东望着逶迤的山峦，触发了诗兴，写下《清平乐·会昌》一词。他的心情虽然苦闷，但并不消沉。诗人豪迈地宣称自己“踏遍青山人未老</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所看到的是</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会昌城外高峰，颠连直接东溟”</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而远望南粤，“更加郁郁葱葱”。“风景这边独好”的独白，更加表达出毛泽东的乐观、豁达之情</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《清平乐·会昌》</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意境彰显出放眼全局、不被困难所吓倒、艰苦奋斗、顽强拚搏、攻克难关的精神和勇气，这样郁郁葱葱的大好美景就会张开双臂迎接奋斗者。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2.6依靠群众求胜利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ascii="微软雅黑" w:hAnsi="微软雅黑" w:eastAsia="微软雅黑" w:cs="微软雅黑"/>
          <w:b w:val="0"/>
          <w:i w:val="0"/>
          <w:caps w:val="0"/>
          <w:color w:val="000000"/>
          <w:spacing w:val="0"/>
          <w:sz w:val="24"/>
          <w:szCs w:val="24"/>
          <w:shd w:val="clear" w:fill="FFFFFF"/>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依靠群众是井冈山精神在人生观价值观和道德情操上的具体体现。在井冈山艰苦创业的过程中，红军始终关心群众，相信和依靠群众，同群众打成一片。为了人民的利益和革命事业的需要，无数革命者抛头颅、洒热血，甘愿奉献自己的青春和生命。正是因为我党与人民群众血肉般的联系，才赢得了群众的拥护和支持，使得国民党反动派一进入根据地，就陷入人民战争的汪洋大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1927年10月，毛泽东率领工农革命军到达井冈山的荆竹山时，制定并宣布了：1、行动听指挥；2、不拿群众一点东西；3、打土豪要归公的“三大纪律”；1928年1月，部队打下遂川后又宣布了“六项注意”（如：说话和气、买卖公平、借东西要还、损坏东西要赔偿等）。“三大纪律、六项注意”是我军“三大纪律、八项注意”的雏形</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vertAlign w:val="superscript"/>
          <w:lang w:val="en-US" w:eastAsia="zh-CN"/>
          <w14:textFill>
            <w14:solidFill>
              <w14:schemeClr w14:val="tx1"/>
            </w14:solidFill>
          </w14:textFill>
        </w:rPr>
        <w:t>3</w:t>
      </w:r>
      <w:r>
        <w:rPr>
          <w:rFonts w:hint="eastAsia" w:ascii="宋体" w:hAnsi="宋体" w:eastAsia="宋体" w:cs="宋体"/>
          <w:b w:val="0"/>
          <w:bCs/>
          <w:i w:val="0"/>
          <w:caps w:val="0"/>
          <w:color w:val="000000" w:themeColor="text1"/>
          <w:spacing w:val="0"/>
          <w:sz w:val="24"/>
          <w:szCs w:val="24"/>
          <w:shd w:val="clear" w:fill="FFFFFF"/>
          <w:vertAlign w:val="superscript"/>
          <w:lang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1931年，毛泽东为对表达龙冈之战大捷的欣喜和第二次“围剿”迎战的决心，写下了《渔家傲·反第一次大“围剿”》。其中“</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唤起工农千百万，同心干，不周山下红旗乱。</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”表明作者一贯的思想：放手发动群众，人民战争、革命战争是群众的战争等等，他在最艰苦的岁月已看到遥远的胜利的曙光。同年毛泽东写下《渔家傲·反第二次大“围剿”》：“</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白云山头云欲立，白云山下呼声急，枯木朽株齐努力。枪林逼，飞将军自重霄入。</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”集中描绘了第二次反“围剿”的关键之战，即东固、富田之战，突出根据地军民团结战斗，奋勇杀敌的英勇气概。下阕概括写出第二次“围剿”向东横扫，大获全胜的整个过程。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透过诗词，并结合革命史实，工农革命军纪律严明、秋毫无犯，得到了根据地人民真诚拥护，对根据地建立、巩固和发展起到了极大推动作用。红军的“三大纪律、六项注意”充分体现了真心实意为群众谋利益，代表最广大人民的根本利益，做到一切为了群众，一</w:t>
      </w:r>
      <w:bookmarkStart w:id="0" w:name="_GoBack"/>
      <w:bookmarkEnd w:id="0"/>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切依靠群众，一心为老百姓办事，建立起军民鱼水情。同生死、共患难的血肉相连的关系。工农红军就是靠同心同德、团结一心的“众志成城”的威力打败敌人的进攻，取得井冈山革命斗争的胜利。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　３传播和弘扬井冈山精神之我见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从毛泽东诗词中探究井冈山精神，本文认为：强烈的忧患意识、坚定的理想信念、豁达的乐观情怀、务实的道路抉择、艰苦奋斗攻难关、依靠群众求胜利是井冈山精神所在。与理论界和政界的的研究并无相悖，只是视角不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井冈山精神具有跨越时空的意义，如何传播和弘扬井冈山精神？本文认为要从以下方面着手：一是要多视角对井冈山精神进行研究和提炼；二是要组织编写通俗易懂、群众喜闻乐见的读本；三是要让井冈山精神内涵的标语“进机关、进军营、进学校、进社区、进村庄”；四是要组织宣讲团广泛宣讲；五是要利用互联网+宣传和弘扬井冈山精神，关键是要做到短小精干、图文并茂、尊重史实、入情入理，多角度、全方位、广覆盖地加以传播；六是要组织征文、演讲比赛等活动弘扬井冈山精神；七是要开展以“讲井冈山故事、传承红色基因、实现民族复兴的中国梦”为主题的系列活动；八是与党的基层组织建设、各种主题教育活动、日常管理相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center"/>
        <w:textAlignment w:val="auto"/>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参考文献</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cs="宋体"/>
          <w:b w:val="0"/>
          <w:bCs/>
          <w:i w:val="0"/>
          <w:caps w:val="0"/>
          <w:color w:val="000000" w:themeColor="text1"/>
          <w:spacing w:val="0"/>
          <w:sz w:val="24"/>
          <w:szCs w:val="24"/>
          <w:shd w:val="clear" w:fill="FFFFFF"/>
          <w:lang w:eastAsia="zh-CN"/>
          <w14:textFill>
            <w14:solidFill>
              <w14:schemeClr w14:val="tx1"/>
            </w14:solidFill>
          </w14:textFill>
        </w:rPr>
        <w:t>黄红梅</w:t>
      </w:r>
      <w:r>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t>.井冈山精神研究综述</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[J]</w:t>
      </w:r>
      <w:r>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t>.中国井冈山干部学院学报，</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2016，9（3）：137～144</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张育仁.骑在马背上的中国革命精神——论毛泽东诗词作为革命理性史和情感[J].重庆师范大学学报，2015（5）：5</w:t>
      </w:r>
      <w:r>
        <w:rPr>
          <w:rFonts w:hint="eastAsia" w:ascii="微软雅黑" w:hAnsi="微软雅黑" w:eastAsia="微软雅黑" w:cs="微软雅黑"/>
          <w:b w:val="0"/>
          <w:bCs/>
          <w:i w:val="0"/>
          <w:caps w:val="0"/>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10</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余伯流，夏道汉著.</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instrText xml:space="preserve"> HYPERLINK "http://book.cbelib.jxufe.cn/views/specific/2929/bookDetail.jsp?dxNumber=000006235990&amp;d=547CE434752E3BAA298C78BEEA33BC45&amp;fenlei=110305030701" \t "http://book.cbelib.jxufe.cn/_blank" </w:instrTex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separate"/>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井冈山革命根据地全史[M].南昌：江西人民出版社,1987</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fldChar w:fldCharType="end"/>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李晓琳、唐名利．毛泽东诗词鉴赏</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[M]</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．吉林：吉林文史出版社，2005：55～56</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公木</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．毛泽东诗词鉴赏</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[M]</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．长春：长春出版社，1994.9：33～36</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吴正裕、李捷、陈晋等</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．毛泽东诗词全编鉴赏</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[M]</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．北京：中央文献出版社，2003年12月版</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柳冰.井冈山精神的提出与发展概述[J].兰台世界，2015，22：116</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117</w:t>
      </w:r>
    </w:p>
    <w:p>
      <w:pPr>
        <w:keepNext w:val="0"/>
        <w:keepLines w:val="0"/>
        <w:pageBreakBefore w:val="0"/>
        <w:numPr>
          <w:ilvl w:val="0"/>
          <w:numId w:val="3"/>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李晓琳、唐名刚</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．毛泽东诗词鉴赏</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[M]</w:t>
      </w:r>
      <w:r>
        <w:rPr>
          <w:rFonts w:hint="default"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．吉林：吉林文史出版社，2005：第67～69</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right"/>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right"/>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leftChars="200" w:right="0" w:rightChars="0"/>
        <w:jc w:val="right"/>
        <w:textAlignment w:val="auto"/>
        <w:rPr>
          <w:rFonts w:hint="eastAsia"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2016、9、5</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文鼎小标宋简">
    <w:altName w:val="宋体"/>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9BC1"/>
    <w:multiLevelType w:val="singleLevel"/>
    <w:tmpl w:val="57CB9BC1"/>
    <w:lvl w:ilvl="0" w:tentative="0">
      <w:start w:val="2"/>
      <w:numFmt w:val="decimal"/>
      <w:suff w:val="nothing"/>
      <w:lvlText w:val="%1."/>
      <w:lvlJc w:val="left"/>
    </w:lvl>
  </w:abstractNum>
  <w:abstractNum w:abstractNumId="1">
    <w:nsid w:val="57CD30B5"/>
    <w:multiLevelType w:val="singleLevel"/>
    <w:tmpl w:val="57CD30B5"/>
    <w:lvl w:ilvl="0" w:tentative="0">
      <w:start w:val="2"/>
      <w:numFmt w:val="decimal"/>
      <w:suff w:val="nothing"/>
      <w:lvlText w:val="%1."/>
      <w:lvlJc w:val="left"/>
    </w:lvl>
  </w:abstractNum>
  <w:abstractNum w:abstractNumId="2">
    <w:nsid w:val="57CFCED1"/>
    <w:multiLevelType w:val="singleLevel"/>
    <w:tmpl w:val="57CFCED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82938"/>
    <w:rsid w:val="016E1368"/>
    <w:rsid w:val="02FC1336"/>
    <w:rsid w:val="032A2AB4"/>
    <w:rsid w:val="036738C7"/>
    <w:rsid w:val="04294B3F"/>
    <w:rsid w:val="04E20C2D"/>
    <w:rsid w:val="05286C0C"/>
    <w:rsid w:val="05C25892"/>
    <w:rsid w:val="06A17A3D"/>
    <w:rsid w:val="06BF7E45"/>
    <w:rsid w:val="072E2D53"/>
    <w:rsid w:val="073C69CF"/>
    <w:rsid w:val="07916038"/>
    <w:rsid w:val="079245B3"/>
    <w:rsid w:val="07AB1FBA"/>
    <w:rsid w:val="09DE363F"/>
    <w:rsid w:val="0AAA55E3"/>
    <w:rsid w:val="0C115B02"/>
    <w:rsid w:val="0C2A5831"/>
    <w:rsid w:val="0CAC200A"/>
    <w:rsid w:val="0D002D7C"/>
    <w:rsid w:val="0D1D3C0D"/>
    <w:rsid w:val="0D7243F7"/>
    <w:rsid w:val="0DAA7C27"/>
    <w:rsid w:val="0E2F5AE2"/>
    <w:rsid w:val="0E6B47C6"/>
    <w:rsid w:val="0E9B5F79"/>
    <w:rsid w:val="0F645031"/>
    <w:rsid w:val="0FC43E35"/>
    <w:rsid w:val="105868B4"/>
    <w:rsid w:val="10B47633"/>
    <w:rsid w:val="113836FE"/>
    <w:rsid w:val="11703D6C"/>
    <w:rsid w:val="118624E9"/>
    <w:rsid w:val="11BD1B41"/>
    <w:rsid w:val="11D94AC1"/>
    <w:rsid w:val="129525E2"/>
    <w:rsid w:val="12B96993"/>
    <w:rsid w:val="130D5E62"/>
    <w:rsid w:val="131B2689"/>
    <w:rsid w:val="13551134"/>
    <w:rsid w:val="13B76DBC"/>
    <w:rsid w:val="144D4507"/>
    <w:rsid w:val="14C916FE"/>
    <w:rsid w:val="158C097B"/>
    <w:rsid w:val="162B2AB4"/>
    <w:rsid w:val="164A1C69"/>
    <w:rsid w:val="16CA2108"/>
    <w:rsid w:val="172873AA"/>
    <w:rsid w:val="174D4A44"/>
    <w:rsid w:val="17A1414B"/>
    <w:rsid w:val="17B66AB8"/>
    <w:rsid w:val="1822090D"/>
    <w:rsid w:val="185F62DD"/>
    <w:rsid w:val="18C906EE"/>
    <w:rsid w:val="198C5A76"/>
    <w:rsid w:val="1A091261"/>
    <w:rsid w:val="1A2A54C5"/>
    <w:rsid w:val="1A530549"/>
    <w:rsid w:val="1AC67D72"/>
    <w:rsid w:val="1B2D5184"/>
    <w:rsid w:val="1B761709"/>
    <w:rsid w:val="1B9A345E"/>
    <w:rsid w:val="1BAD130F"/>
    <w:rsid w:val="1BE72D24"/>
    <w:rsid w:val="1C211C77"/>
    <w:rsid w:val="1C5B70A4"/>
    <w:rsid w:val="1C641276"/>
    <w:rsid w:val="1E7C26A4"/>
    <w:rsid w:val="1E87045C"/>
    <w:rsid w:val="1E8D2A35"/>
    <w:rsid w:val="1E9E3A8A"/>
    <w:rsid w:val="1FBA7CA3"/>
    <w:rsid w:val="1FE7176B"/>
    <w:rsid w:val="20ED72C6"/>
    <w:rsid w:val="20FA66D4"/>
    <w:rsid w:val="22385CD9"/>
    <w:rsid w:val="22C90D85"/>
    <w:rsid w:val="23306693"/>
    <w:rsid w:val="239C3634"/>
    <w:rsid w:val="23A413DC"/>
    <w:rsid w:val="24602B53"/>
    <w:rsid w:val="2522400B"/>
    <w:rsid w:val="25335A91"/>
    <w:rsid w:val="25A31ABB"/>
    <w:rsid w:val="266969A2"/>
    <w:rsid w:val="26C51337"/>
    <w:rsid w:val="2742058F"/>
    <w:rsid w:val="275344C2"/>
    <w:rsid w:val="27815A60"/>
    <w:rsid w:val="279660D1"/>
    <w:rsid w:val="27C66C3E"/>
    <w:rsid w:val="27FC21B8"/>
    <w:rsid w:val="28017B12"/>
    <w:rsid w:val="287D3857"/>
    <w:rsid w:val="28CC7E2F"/>
    <w:rsid w:val="29D4454A"/>
    <w:rsid w:val="2A106FC5"/>
    <w:rsid w:val="2A1E5243"/>
    <w:rsid w:val="2AE66848"/>
    <w:rsid w:val="2AF90EBC"/>
    <w:rsid w:val="2B991789"/>
    <w:rsid w:val="2BBC1BC5"/>
    <w:rsid w:val="2BEC74AB"/>
    <w:rsid w:val="2CBA3ADF"/>
    <w:rsid w:val="2D4062AB"/>
    <w:rsid w:val="2D5030F0"/>
    <w:rsid w:val="2E2F1BF0"/>
    <w:rsid w:val="2EB32EF2"/>
    <w:rsid w:val="2EDC01EE"/>
    <w:rsid w:val="2EED58DC"/>
    <w:rsid w:val="2EEF299F"/>
    <w:rsid w:val="2F8A60C1"/>
    <w:rsid w:val="2FBD7A3D"/>
    <w:rsid w:val="306D66DE"/>
    <w:rsid w:val="30A87D4B"/>
    <w:rsid w:val="30E3430B"/>
    <w:rsid w:val="315160D0"/>
    <w:rsid w:val="317F26AA"/>
    <w:rsid w:val="31A12728"/>
    <w:rsid w:val="31E54E02"/>
    <w:rsid w:val="327D36F7"/>
    <w:rsid w:val="32B9292B"/>
    <w:rsid w:val="32BF5841"/>
    <w:rsid w:val="32FF4D62"/>
    <w:rsid w:val="33AA2C9B"/>
    <w:rsid w:val="33C45981"/>
    <w:rsid w:val="344857F5"/>
    <w:rsid w:val="35A35725"/>
    <w:rsid w:val="362B2F4E"/>
    <w:rsid w:val="36700BDE"/>
    <w:rsid w:val="36EB01A2"/>
    <w:rsid w:val="36F6208E"/>
    <w:rsid w:val="3707436B"/>
    <w:rsid w:val="371C2D42"/>
    <w:rsid w:val="374C32F0"/>
    <w:rsid w:val="378615FE"/>
    <w:rsid w:val="383B6090"/>
    <w:rsid w:val="389A02A2"/>
    <w:rsid w:val="39281C8F"/>
    <w:rsid w:val="3A2413B0"/>
    <w:rsid w:val="3A461EB4"/>
    <w:rsid w:val="3AF20F1C"/>
    <w:rsid w:val="3AFC4CCC"/>
    <w:rsid w:val="3B4E39FF"/>
    <w:rsid w:val="3BAF73BD"/>
    <w:rsid w:val="3C084759"/>
    <w:rsid w:val="3C0D2B2A"/>
    <w:rsid w:val="3CD352FA"/>
    <w:rsid w:val="3D1922DD"/>
    <w:rsid w:val="3D1F3745"/>
    <w:rsid w:val="3D5E157D"/>
    <w:rsid w:val="3DCA3BFD"/>
    <w:rsid w:val="3DE20859"/>
    <w:rsid w:val="3E0C13D9"/>
    <w:rsid w:val="3E4D0BE6"/>
    <w:rsid w:val="3EC319FF"/>
    <w:rsid w:val="3EF61D5C"/>
    <w:rsid w:val="3F161B53"/>
    <w:rsid w:val="3F740D98"/>
    <w:rsid w:val="3F9942D9"/>
    <w:rsid w:val="406C2C5D"/>
    <w:rsid w:val="4189708F"/>
    <w:rsid w:val="41B840C1"/>
    <w:rsid w:val="422A3D7F"/>
    <w:rsid w:val="44D27C1F"/>
    <w:rsid w:val="44D71B75"/>
    <w:rsid w:val="44F3247B"/>
    <w:rsid w:val="452E1F10"/>
    <w:rsid w:val="46166D76"/>
    <w:rsid w:val="46AD76AA"/>
    <w:rsid w:val="46DD1A18"/>
    <w:rsid w:val="46F51C5F"/>
    <w:rsid w:val="47006156"/>
    <w:rsid w:val="4754094A"/>
    <w:rsid w:val="480C7063"/>
    <w:rsid w:val="48C9420F"/>
    <w:rsid w:val="48CF7944"/>
    <w:rsid w:val="491E1582"/>
    <w:rsid w:val="49E55389"/>
    <w:rsid w:val="4A7E1AD6"/>
    <w:rsid w:val="4A7F4ADF"/>
    <w:rsid w:val="4B1F6341"/>
    <w:rsid w:val="4B677EB0"/>
    <w:rsid w:val="4C024B82"/>
    <w:rsid w:val="4C221E61"/>
    <w:rsid w:val="4C3F3B70"/>
    <w:rsid w:val="4CD34167"/>
    <w:rsid w:val="4D1035F6"/>
    <w:rsid w:val="4D294ABB"/>
    <w:rsid w:val="4D323CFC"/>
    <w:rsid w:val="4DFD182E"/>
    <w:rsid w:val="4E1552AA"/>
    <w:rsid w:val="4E8176EB"/>
    <w:rsid w:val="4EBA378C"/>
    <w:rsid w:val="4EFA0FC7"/>
    <w:rsid w:val="4F987694"/>
    <w:rsid w:val="501709DB"/>
    <w:rsid w:val="501C52C2"/>
    <w:rsid w:val="506742D9"/>
    <w:rsid w:val="50F04B51"/>
    <w:rsid w:val="51CF1F23"/>
    <w:rsid w:val="52A93396"/>
    <w:rsid w:val="52E64F00"/>
    <w:rsid w:val="53771869"/>
    <w:rsid w:val="53D20D67"/>
    <w:rsid w:val="54A91B74"/>
    <w:rsid w:val="551363FF"/>
    <w:rsid w:val="553324E2"/>
    <w:rsid w:val="557C3CBE"/>
    <w:rsid w:val="55EE1E43"/>
    <w:rsid w:val="56153B7D"/>
    <w:rsid w:val="562F34AD"/>
    <w:rsid w:val="56691325"/>
    <w:rsid w:val="57487FC1"/>
    <w:rsid w:val="584532BC"/>
    <w:rsid w:val="5863357B"/>
    <w:rsid w:val="58781230"/>
    <w:rsid w:val="589C0B12"/>
    <w:rsid w:val="590E0115"/>
    <w:rsid w:val="597A18C2"/>
    <w:rsid w:val="5ABB367E"/>
    <w:rsid w:val="5AF277CF"/>
    <w:rsid w:val="5BC56435"/>
    <w:rsid w:val="5BDA21B3"/>
    <w:rsid w:val="5BFE2F20"/>
    <w:rsid w:val="5C317A2D"/>
    <w:rsid w:val="5C4105A9"/>
    <w:rsid w:val="5C4D160C"/>
    <w:rsid w:val="5CD40E27"/>
    <w:rsid w:val="5D4B418A"/>
    <w:rsid w:val="5E00132C"/>
    <w:rsid w:val="5E0A6533"/>
    <w:rsid w:val="5E1616C0"/>
    <w:rsid w:val="5E4E70CE"/>
    <w:rsid w:val="5E701578"/>
    <w:rsid w:val="5E840F7E"/>
    <w:rsid w:val="5F053C44"/>
    <w:rsid w:val="5F5D0D02"/>
    <w:rsid w:val="5FDA0607"/>
    <w:rsid w:val="5FEC5C0C"/>
    <w:rsid w:val="607D153E"/>
    <w:rsid w:val="61AF6EB7"/>
    <w:rsid w:val="61BD6F3E"/>
    <w:rsid w:val="62254802"/>
    <w:rsid w:val="623D5141"/>
    <w:rsid w:val="632478EB"/>
    <w:rsid w:val="63B85A11"/>
    <w:rsid w:val="64290AFF"/>
    <w:rsid w:val="64717664"/>
    <w:rsid w:val="64ED1363"/>
    <w:rsid w:val="65AC539C"/>
    <w:rsid w:val="6658675F"/>
    <w:rsid w:val="668E285D"/>
    <w:rsid w:val="66BD636A"/>
    <w:rsid w:val="674A1C16"/>
    <w:rsid w:val="67A23706"/>
    <w:rsid w:val="686F5008"/>
    <w:rsid w:val="69680412"/>
    <w:rsid w:val="69CB6226"/>
    <w:rsid w:val="6A012085"/>
    <w:rsid w:val="6AFD046B"/>
    <w:rsid w:val="6B500817"/>
    <w:rsid w:val="6BEF6EB0"/>
    <w:rsid w:val="6CA23BCF"/>
    <w:rsid w:val="6CD15AF4"/>
    <w:rsid w:val="6D5A1A55"/>
    <w:rsid w:val="6D8F37EC"/>
    <w:rsid w:val="6DA31EEA"/>
    <w:rsid w:val="6E1119D2"/>
    <w:rsid w:val="6E3774B5"/>
    <w:rsid w:val="6E996643"/>
    <w:rsid w:val="6EC022B3"/>
    <w:rsid w:val="6EE4551F"/>
    <w:rsid w:val="6EFE2244"/>
    <w:rsid w:val="6F576D43"/>
    <w:rsid w:val="6FB5501F"/>
    <w:rsid w:val="701B1DD0"/>
    <w:rsid w:val="70C61A20"/>
    <w:rsid w:val="71474A62"/>
    <w:rsid w:val="71C53186"/>
    <w:rsid w:val="71F76736"/>
    <w:rsid w:val="72020A7F"/>
    <w:rsid w:val="723976DB"/>
    <w:rsid w:val="728E3A63"/>
    <w:rsid w:val="72A4231E"/>
    <w:rsid w:val="72DD6B8D"/>
    <w:rsid w:val="72E70A0C"/>
    <w:rsid w:val="73263796"/>
    <w:rsid w:val="74461670"/>
    <w:rsid w:val="7459543B"/>
    <w:rsid w:val="749F2730"/>
    <w:rsid w:val="74A93685"/>
    <w:rsid w:val="74C31F61"/>
    <w:rsid w:val="74E74847"/>
    <w:rsid w:val="74EF6B14"/>
    <w:rsid w:val="75323AEE"/>
    <w:rsid w:val="762B7520"/>
    <w:rsid w:val="765F7DE7"/>
    <w:rsid w:val="78760F3E"/>
    <w:rsid w:val="78D4731D"/>
    <w:rsid w:val="79247304"/>
    <w:rsid w:val="7A2F049D"/>
    <w:rsid w:val="7A7A0739"/>
    <w:rsid w:val="7A81000D"/>
    <w:rsid w:val="7C1C634A"/>
    <w:rsid w:val="7C1E663C"/>
    <w:rsid w:val="7C8D5E47"/>
    <w:rsid w:val="7CA376DC"/>
    <w:rsid w:val="7CC82938"/>
    <w:rsid w:val="7DA11D5B"/>
    <w:rsid w:val="7DC4769A"/>
    <w:rsid w:val="7E253F09"/>
    <w:rsid w:val="7EC067B3"/>
    <w:rsid w:val="7EF63229"/>
    <w:rsid w:val="7F9009B4"/>
    <w:rsid w:val="7F9B1B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fc-green1"/>
    <w:basedOn w:val="5"/>
    <w:qFormat/>
    <w:uiPriority w:val="0"/>
    <w:rPr>
      <w:color w:val="0F854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2016-09-01T01:59:00Z</dcterms:created>
  <dc:creator>lqb</dc:creator>
  <cp:lastModifiedBy>lqb</cp:lastModifiedBy>
  <dcterms:modified xsi:type="dcterms:W3CDTF">2017-06-09T03:28:18Z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