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autoSpaceDN/>
        <w:bidi w:val="0"/>
        <w:spacing w:line="500" w:lineRule="exact"/>
        <w:jc w:val="center"/>
        <w:rPr>
          <w:rFonts w:ascii="仿宋" w:hAnsi="仿宋" w:eastAsia="仿宋" w:cs="华文仿宋"/>
          <w:b/>
          <w:bCs/>
          <w:sz w:val="44"/>
          <w:szCs w:val="44"/>
        </w:rPr>
      </w:pPr>
      <w:bookmarkStart w:id="0" w:name="_GoBack"/>
      <w:r>
        <w:rPr>
          <w:rFonts w:hint="eastAsia" w:ascii="仿宋" w:hAnsi="仿宋" w:eastAsia="仿宋" w:cs="华文仿宋"/>
          <w:b/>
          <w:bCs/>
          <w:sz w:val="44"/>
          <w:szCs w:val="44"/>
        </w:rPr>
        <w:t>离退休人员工作处公务用车经费管理办法</w:t>
      </w:r>
    </w:p>
    <w:bookmarkEnd w:id="0"/>
    <w:p>
      <w:pPr>
        <w:pStyle w:val="2"/>
        <w:pageBreakBefore w:val="0"/>
        <w:shd w:val="clear" w:color="auto" w:fill="FFFFFF"/>
        <w:kinsoku/>
        <w:overflowPunct/>
        <w:topLinePunct w:val="0"/>
        <w:autoSpaceDE/>
        <w:autoSpaceDN/>
        <w:bidi w:val="0"/>
        <w:spacing w:beforeAutospacing="0" w:afterAutospacing="0" w:line="500" w:lineRule="exact"/>
        <w:ind w:firstLine="2100" w:firstLineChars="750"/>
        <w:rPr>
          <w:rFonts w:hint="eastAsia" w:ascii="仿宋" w:hAnsi="仿宋" w:eastAsia="仿宋"/>
          <w:sz w:val="28"/>
          <w:szCs w:val="28"/>
          <w:shd w:val="clear" w:color="auto" w:fill="FFFFFF"/>
        </w:rPr>
      </w:pPr>
      <w:r>
        <w:rPr>
          <w:rFonts w:hint="eastAsia" w:ascii="仿宋" w:hAnsi="仿宋" w:eastAsia="仿宋"/>
          <w:sz w:val="28"/>
          <w:szCs w:val="28"/>
          <w:shd w:val="clear" w:color="auto" w:fill="FFFFFF"/>
          <w:lang w:eastAsia="zh-CN"/>
        </w:rPr>
        <w:t>（</w:t>
      </w:r>
      <w:r>
        <w:rPr>
          <w:rFonts w:hint="eastAsia" w:ascii="仿宋" w:hAnsi="仿宋" w:eastAsia="仿宋"/>
          <w:sz w:val="28"/>
          <w:szCs w:val="28"/>
          <w:shd w:val="clear" w:color="auto" w:fill="FFFFFF"/>
          <w:lang w:val="en-US" w:eastAsia="zh-CN"/>
        </w:rPr>
        <w:t>江财</w:t>
      </w:r>
      <w:r>
        <w:rPr>
          <w:rFonts w:hint="eastAsia" w:ascii="仿宋" w:hAnsi="仿宋" w:eastAsia="仿宋"/>
          <w:sz w:val="28"/>
          <w:szCs w:val="28"/>
          <w:shd w:val="clear" w:color="auto" w:fill="FFFFFF"/>
          <w:lang w:eastAsia="zh-CN"/>
        </w:rPr>
        <w:t>）</w:t>
      </w:r>
      <w:r>
        <w:rPr>
          <w:rFonts w:hint="eastAsia" w:ascii="仿宋" w:hAnsi="仿宋" w:eastAsia="仿宋"/>
          <w:sz w:val="28"/>
          <w:szCs w:val="28"/>
          <w:shd w:val="clear" w:color="auto" w:fill="FFFFFF"/>
        </w:rPr>
        <w:t>老干字[20</w:t>
      </w:r>
      <w:r>
        <w:rPr>
          <w:rFonts w:hint="eastAsia" w:ascii="仿宋" w:hAnsi="仿宋" w:eastAsia="仿宋"/>
          <w:sz w:val="28"/>
          <w:szCs w:val="28"/>
          <w:shd w:val="clear" w:color="auto" w:fill="FFFFFF"/>
          <w:lang w:val="en-US" w:eastAsia="zh-CN"/>
        </w:rPr>
        <w:t>20</w:t>
      </w:r>
      <w:r>
        <w:rPr>
          <w:rFonts w:hint="eastAsia" w:ascii="仿宋" w:hAnsi="仿宋" w:eastAsia="仿宋"/>
          <w:sz w:val="28"/>
          <w:szCs w:val="28"/>
          <w:shd w:val="clear" w:color="auto" w:fill="FFFFFF"/>
        </w:rPr>
        <w:t>]</w:t>
      </w:r>
      <w:r>
        <w:rPr>
          <w:rFonts w:hint="eastAsia" w:ascii="仿宋" w:hAnsi="仿宋" w:eastAsia="仿宋"/>
          <w:sz w:val="28"/>
          <w:szCs w:val="28"/>
          <w:shd w:val="clear" w:color="auto" w:fill="FFFFFF"/>
          <w:lang w:val="en-US" w:eastAsia="zh-CN"/>
        </w:rPr>
        <w:t>19</w:t>
      </w:r>
      <w:r>
        <w:rPr>
          <w:rFonts w:hint="eastAsia" w:ascii="仿宋" w:hAnsi="仿宋" w:eastAsia="仿宋"/>
          <w:sz w:val="28"/>
          <w:szCs w:val="28"/>
          <w:shd w:val="clear" w:color="auto" w:fill="FFFFFF"/>
        </w:rPr>
        <w:t>号</w:t>
      </w:r>
    </w:p>
    <w:p>
      <w:pPr>
        <w:pageBreakBefore w:val="0"/>
        <w:kinsoku/>
        <w:overflowPunct/>
        <w:topLinePunct w:val="0"/>
        <w:autoSpaceDE/>
        <w:autoSpaceDN/>
        <w:bidi w:val="0"/>
        <w:spacing w:line="500" w:lineRule="exact"/>
        <w:ind w:firstLine="640" w:firstLineChars="200"/>
        <w:rPr>
          <w:rFonts w:ascii="仿宋" w:hAnsi="仿宋" w:eastAsia="仿宋" w:cs="华文仿宋"/>
          <w:sz w:val="32"/>
          <w:szCs w:val="32"/>
        </w:rPr>
      </w:pPr>
    </w:p>
    <w:p>
      <w:pPr>
        <w:pageBreakBefore w:val="0"/>
        <w:kinsoku/>
        <w:overflowPunct/>
        <w:topLinePunct w:val="0"/>
        <w:autoSpaceDE/>
        <w:autoSpaceDN/>
        <w:bidi w:val="0"/>
        <w:spacing w:line="500" w:lineRule="exact"/>
        <w:ind w:firstLine="640" w:firstLineChars="200"/>
        <w:rPr>
          <w:rFonts w:ascii="仿宋" w:hAnsi="仿宋" w:eastAsia="仿宋" w:cs="华文仿宋"/>
          <w:sz w:val="32"/>
          <w:szCs w:val="32"/>
        </w:rPr>
      </w:pPr>
      <w:r>
        <w:rPr>
          <w:rFonts w:hint="eastAsia" w:ascii="仿宋" w:hAnsi="仿宋" w:eastAsia="仿宋" w:cs="华文仿宋"/>
          <w:sz w:val="32"/>
          <w:szCs w:val="32"/>
        </w:rPr>
        <w:t>为进一步加强公务用车经费的使用管理，规范公务用车行为，提高经费使用效率，根据《省直事业单位公务交通费用报销管理暂行办法》（赣财行[2018]13号）、《关于明确和调整省直机关差旅费有关管理规定的通知》（赣财行[2017]25号）等文件精神，结合本处工作实际，特制定本办法。</w:t>
      </w:r>
    </w:p>
    <w:p>
      <w:pPr>
        <w:pageBreakBefore w:val="0"/>
        <w:numPr>
          <w:ilvl w:val="0"/>
          <w:numId w:val="1"/>
        </w:numPr>
        <w:kinsoku/>
        <w:overflowPunct/>
        <w:topLinePunct w:val="0"/>
        <w:autoSpaceDE/>
        <w:autoSpaceDN/>
        <w:bidi w:val="0"/>
        <w:spacing w:line="500" w:lineRule="exact"/>
        <w:ind w:firstLine="640" w:firstLineChars="200"/>
        <w:rPr>
          <w:rFonts w:ascii="仿宋" w:hAnsi="仿宋" w:eastAsia="仿宋" w:cs="华文仿宋"/>
          <w:sz w:val="32"/>
          <w:szCs w:val="32"/>
        </w:rPr>
      </w:pPr>
      <w:r>
        <w:rPr>
          <w:rFonts w:hint="eastAsia" w:ascii="仿宋" w:hAnsi="仿宋" w:eastAsia="仿宋" w:cs="华文仿宋"/>
          <w:sz w:val="32"/>
          <w:szCs w:val="32"/>
        </w:rPr>
        <w:t xml:space="preserve"> 本办法所指公务出行的适用范围，是指单位工作人员在单位常驻地范围内从事的公务活动。赣财行[2017]25号文件中明确驻昌单位常驻地的范围具体为：南昌市东湖区、西湖区、青云谱区、青山湖区、高新开发区、经济技术开发区、红谷滩新区、临空经济区，湾里区招贤镇，新建区长堎镇和望城镇，南昌昌北国际机场，南昌县莲塘镇和东新乡，南昌小蓝经济技术开发区。单位工作人员在单位常驻地范围外从事的公务活动按照《江西省省直机关和事业单位差旅费管理办法》规定报销。</w:t>
      </w:r>
    </w:p>
    <w:p>
      <w:pPr>
        <w:pageBreakBefore w:val="0"/>
        <w:numPr>
          <w:ilvl w:val="0"/>
          <w:numId w:val="1"/>
        </w:numPr>
        <w:kinsoku/>
        <w:overflowPunct/>
        <w:topLinePunct w:val="0"/>
        <w:autoSpaceDE/>
        <w:autoSpaceDN/>
        <w:bidi w:val="0"/>
        <w:spacing w:line="500" w:lineRule="exact"/>
        <w:ind w:firstLine="640" w:firstLineChars="200"/>
        <w:rPr>
          <w:rFonts w:ascii="仿宋" w:hAnsi="仿宋" w:eastAsia="仿宋" w:cs="华文仿宋"/>
          <w:sz w:val="32"/>
          <w:szCs w:val="32"/>
        </w:rPr>
      </w:pPr>
      <w:r>
        <w:rPr>
          <w:rFonts w:hint="eastAsia" w:ascii="仿宋" w:hAnsi="仿宋" w:eastAsia="仿宋" w:cs="华文仿宋"/>
          <w:sz w:val="32"/>
          <w:szCs w:val="32"/>
        </w:rPr>
        <w:t xml:space="preserve"> 本处公务用车经费可列支的项目有：公务费、公务用车费、综合服务科经费、走访慰问经费、集体活动费以及各老年协会活动经费等。</w:t>
      </w:r>
    </w:p>
    <w:p>
      <w:pPr>
        <w:pageBreakBefore w:val="0"/>
        <w:numPr>
          <w:ilvl w:val="0"/>
          <w:numId w:val="1"/>
        </w:numPr>
        <w:kinsoku/>
        <w:overflowPunct/>
        <w:topLinePunct w:val="0"/>
        <w:autoSpaceDE/>
        <w:autoSpaceDN/>
        <w:bidi w:val="0"/>
        <w:spacing w:line="500" w:lineRule="exact"/>
        <w:ind w:firstLine="640" w:firstLineChars="200"/>
        <w:rPr>
          <w:rFonts w:ascii="仿宋" w:hAnsi="仿宋" w:eastAsia="仿宋" w:cs="华文仿宋"/>
          <w:sz w:val="32"/>
          <w:szCs w:val="32"/>
        </w:rPr>
      </w:pPr>
      <w:r>
        <w:rPr>
          <w:rFonts w:hint="eastAsia" w:ascii="仿宋" w:hAnsi="仿宋" w:eastAsia="仿宋" w:cs="华文仿宋"/>
          <w:sz w:val="32"/>
          <w:szCs w:val="32"/>
        </w:rPr>
        <w:t>公务交通费用必须从本处公务用车经费对应科目中按规定报支，不得在其他项目经费中开支。</w:t>
      </w:r>
    </w:p>
    <w:p>
      <w:pPr>
        <w:pageBreakBefore w:val="0"/>
        <w:numPr>
          <w:ilvl w:val="0"/>
          <w:numId w:val="1"/>
        </w:numPr>
        <w:kinsoku/>
        <w:overflowPunct/>
        <w:topLinePunct w:val="0"/>
        <w:autoSpaceDE/>
        <w:autoSpaceDN/>
        <w:bidi w:val="0"/>
        <w:spacing w:line="500" w:lineRule="exact"/>
        <w:ind w:firstLine="560"/>
        <w:rPr>
          <w:rFonts w:ascii="仿宋" w:hAnsi="仿宋" w:eastAsia="仿宋" w:cs="华文仿宋"/>
          <w:sz w:val="32"/>
          <w:szCs w:val="32"/>
        </w:rPr>
      </w:pPr>
      <w:r>
        <w:rPr>
          <w:rFonts w:hint="eastAsia" w:ascii="仿宋" w:hAnsi="仿宋" w:eastAsia="仿宋" w:cs="华文仿宋"/>
          <w:sz w:val="32"/>
          <w:szCs w:val="32"/>
        </w:rPr>
        <w:t xml:space="preserve"> 领取交通补贴的人员在补贴保障范围内（原校领导车贴和离休干部差旅费包干）的普通出行，严格按照《江西省党政机关公务用车管理实施办法》（赣办字[2018]50号）、《江西省省直事业单位公务用车制度改革实施方案》（赣车改[2018]4号）等文件执行。</w:t>
      </w:r>
      <w:r>
        <w:rPr>
          <w:rFonts w:ascii="仿宋" w:hAnsi="仿宋" w:eastAsia="仿宋" w:cs="华文仿宋"/>
          <w:sz w:val="32"/>
          <w:szCs w:val="32"/>
        </w:rPr>
        <w:t xml:space="preserve"> </w:t>
      </w:r>
    </w:p>
    <w:p>
      <w:pPr>
        <w:pageBreakBefore w:val="0"/>
        <w:numPr>
          <w:ilvl w:val="0"/>
          <w:numId w:val="1"/>
        </w:numPr>
        <w:kinsoku/>
        <w:overflowPunct/>
        <w:topLinePunct w:val="0"/>
        <w:autoSpaceDE/>
        <w:autoSpaceDN/>
        <w:bidi w:val="0"/>
        <w:spacing w:line="500" w:lineRule="exact"/>
        <w:ind w:firstLine="640" w:firstLineChars="200"/>
        <w:rPr>
          <w:rFonts w:ascii="仿宋" w:hAnsi="仿宋" w:eastAsia="仿宋" w:cs="华文仿宋"/>
          <w:sz w:val="32"/>
          <w:szCs w:val="32"/>
        </w:rPr>
      </w:pPr>
      <w:r>
        <w:rPr>
          <w:rFonts w:hint="eastAsia" w:ascii="仿宋" w:hAnsi="仿宋" w:eastAsia="仿宋" w:cs="华文仿宋"/>
          <w:sz w:val="32"/>
          <w:szCs w:val="32"/>
        </w:rPr>
        <w:t>适用公务交通费用报销的参改人员，原则上应乘用公共交通工具（公交车、地铁、租车、的士），所发生的公务交通费用凭发票据实报销。确因工作任务需要，经所在科室负责人审核，处党政负责人书面批准，可乘非公共交通工具（私车公用）出行。</w:t>
      </w:r>
    </w:p>
    <w:p>
      <w:pPr>
        <w:pageBreakBefore w:val="0"/>
        <w:numPr>
          <w:ilvl w:val="0"/>
          <w:numId w:val="1"/>
        </w:numPr>
        <w:kinsoku/>
        <w:overflowPunct/>
        <w:topLinePunct w:val="0"/>
        <w:autoSpaceDE/>
        <w:autoSpaceDN/>
        <w:bidi w:val="0"/>
        <w:spacing w:line="500" w:lineRule="exact"/>
        <w:ind w:firstLine="640" w:firstLineChars="200"/>
        <w:rPr>
          <w:rFonts w:ascii="仿宋" w:hAnsi="仿宋" w:eastAsia="仿宋" w:cs="华文仿宋"/>
          <w:sz w:val="32"/>
          <w:szCs w:val="32"/>
        </w:rPr>
      </w:pPr>
      <w:r>
        <w:rPr>
          <w:rFonts w:hint="eastAsia" w:ascii="仿宋" w:hAnsi="仿宋" w:eastAsia="仿宋" w:cs="华文仿宋"/>
          <w:sz w:val="32"/>
          <w:szCs w:val="32"/>
        </w:rPr>
        <w:t>乘用非公共交通工具出行须填写“乘用非公共交通工具报销单”（起点均为本校，即实际出发地校区），采取按次按距离包干的方式报销公务交通费用，无需发票。如发生过路过桥费、停车费的，一并凭发票据实报销。</w:t>
      </w:r>
    </w:p>
    <w:p>
      <w:pPr>
        <w:pageBreakBefore w:val="0"/>
        <w:numPr>
          <w:ilvl w:val="0"/>
          <w:numId w:val="1"/>
        </w:numPr>
        <w:kinsoku/>
        <w:overflowPunct/>
        <w:topLinePunct w:val="0"/>
        <w:autoSpaceDE/>
        <w:autoSpaceDN/>
        <w:bidi w:val="0"/>
        <w:spacing w:line="500" w:lineRule="exact"/>
        <w:ind w:firstLine="640" w:firstLineChars="200"/>
        <w:rPr>
          <w:rFonts w:ascii="仿宋" w:hAnsi="仿宋" w:eastAsia="仿宋" w:cs="华文仿宋"/>
          <w:sz w:val="32"/>
          <w:szCs w:val="32"/>
        </w:rPr>
      </w:pPr>
      <w:r>
        <w:rPr>
          <w:rFonts w:hint="eastAsia" w:ascii="仿宋" w:hAnsi="仿宋" w:eastAsia="仿宋" w:cs="华文仿宋"/>
          <w:sz w:val="32"/>
          <w:szCs w:val="32"/>
        </w:rPr>
        <w:t xml:space="preserve"> 按次按距离包干公务交通费用的方法是，按每批次公务出行公里数和M*1.5元/公里费用标准包干，逐次审核报销。M按每批次出行人数除以4后进位取整计算（如6-9人同行，M为2；1-5人出行，M为1）。出行公里数可使用任何公开的电子地图数据。</w:t>
      </w:r>
    </w:p>
    <w:p>
      <w:pPr>
        <w:pageBreakBefore w:val="0"/>
        <w:numPr>
          <w:ilvl w:val="0"/>
          <w:numId w:val="1"/>
        </w:numPr>
        <w:kinsoku/>
        <w:overflowPunct/>
        <w:topLinePunct w:val="0"/>
        <w:autoSpaceDE/>
        <w:autoSpaceDN/>
        <w:bidi w:val="0"/>
        <w:spacing w:line="500" w:lineRule="exact"/>
        <w:ind w:firstLine="640" w:firstLineChars="200"/>
        <w:rPr>
          <w:rFonts w:ascii="仿宋" w:hAnsi="仿宋" w:eastAsia="仿宋" w:cs="华文仿宋"/>
          <w:sz w:val="32"/>
          <w:szCs w:val="32"/>
        </w:rPr>
      </w:pPr>
      <w:r>
        <w:rPr>
          <w:rFonts w:hint="eastAsia" w:ascii="仿宋" w:hAnsi="仿宋" w:eastAsia="仿宋" w:cs="华文仿宋"/>
          <w:sz w:val="32"/>
          <w:szCs w:val="32"/>
        </w:rPr>
        <w:t xml:space="preserve"> 一次公务出行需要到达两个及以上目的地的，按实际出行顺序及其距离计算公务交通费用。</w:t>
      </w:r>
    </w:p>
    <w:p>
      <w:pPr>
        <w:pageBreakBefore w:val="0"/>
        <w:numPr>
          <w:ilvl w:val="0"/>
          <w:numId w:val="1"/>
        </w:numPr>
        <w:kinsoku/>
        <w:overflowPunct/>
        <w:topLinePunct w:val="0"/>
        <w:autoSpaceDE/>
        <w:autoSpaceDN/>
        <w:bidi w:val="0"/>
        <w:spacing w:line="500" w:lineRule="exact"/>
        <w:ind w:firstLine="640" w:firstLineChars="200"/>
        <w:rPr>
          <w:rFonts w:ascii="仿宋" w:hAnsi="仿宋" w:eastAsia="仿宋" w:cs="华文仿宋"/>
          <w:sz w:val="32"/>
          <w:szCs w:val="32"/>
        </w:rPr>
      </w:pPr>
      <w:r>
        <w:rPr>
          <w:rFonts w:hint="eastAsia" w:ascii="仿宋" w:hAnsi="仿宋" w:eastAsia="仿宋" w:cs="华文仿宋"/>
          <w:sz w:val="32"/>
          <w:szCs w:val="32"/>
        </w:rPr>
        <w:t xml:space="preserve"> 严格管理使用年度公务交通费用报销额度。乘用公共交通工具与非公共交通工具发生的公务交通费用要控制在本部门相应科目年度预算内，不得额外申请追加经费。个人公务交通费用年度报销额度不得高于同地区同级别党政机关相应层级公务员交通补贴标准。</w:t>
      </w:r>
    </w:p>
    <w:p>
      <w:pPr>
        <w:pageBreakBefore w:val="0"/>
        <w:numPr>
          <w:ilvl w:val="0"/>
          <w:numId w:val="1"/>
        </w:numPr>
        <w:kinsoku/>
        <w:overflowPunct/>
        <w:topLinePunct w:val="0"/>
        <w:autoSpaceDE/>
        <w:autoSpaceDN/>
        <w:bidi w:val="0"/>
        <w:spacing w:line="500" w:lineRule="exact"/>
        <w:ind w:firstLine="640" w:firstLineChars="200"/>
        <w:rPr>
          <w:rFonts w:ascii="仿宋" w:hAnsi="仿宋" w:eastAsia="仿宋" w:cs="华文仿宋"/>
          <w:sz w:val="32"/>
          <w:szCs w:val="32"/>
        </w:rPr>
      </w:pPr>
      <w:r>
        <w:rPr>
          <w:rFonts w:hint="eastAsia" w:ascii="仿宋" w:hAnsi="仿宋" w:eastAsia="仿宋" w:cs="华文仿宋"/>
          <w:sz w:val="32"/>
          <w:szCs w:val="32"/>
        </w:rPr>
        <w:t xml:space="preserve"> 建立乘用非公共交通工具出行审批内控管理制度。工作人员乘用非公共交通工具出行，须事先获得我处党政负责人书面批准，凭批准件办理报销手续。</w:t>
      </w:r>
    </w:p>
    <w:p>
      <w:pPr>
        <w:pageBreakBefore w:val="0"/>
        <w:numPr>
          <w:ilvl w:val="0"/>
          <w:numId w:val="1"/>
        </w:numPr>
        <w:kinsoku/>
        <w:overflowPunct/>
        <w:topLinePunct w:val="0"/>
        <w:autoSpaceDE/>
        <w:autoSpaceDN/>
        <w:bidi w:val="0"/>
        <w:spacing w:line="500" w:lineRule="exact"/>
        <w:ind w:firstLine="640" w:firstLineChars="200"/>
        <w:rPr>
          <w:rFonts w:ascii="仿宋" w:hAnsi="仿宋" w:eastAsia="仿宋" w:cs="华文仿宋"/>
          <w:sz w:val="32"/>
          <w:szCs w:val="32"/>
        </w:rPr>
      </w:pPr>
      <w:r>
        <w:rPr>
          <w:rFonts w:hint="eastAsia" w:ascii="仿宋" w:hAnsi="仿宋" w:eastAsia="仿宋" w:cs="华文仿宋"/>
          <w:sz w:val="32"/>
          <w:szCs w:val="32"/>
        </w:rPr>
        <w:t xml:space="preserve"> 严肃财经纪律，不得以固定数额或者其他变相包干方式向工作人员发放公务交通补贴，严禁报销没有发生公务出行活动的费用，严禁报销非公务用车的燃油费用。任何人在公务用车经费使用管理中发生违法违规行为的，一经查实，严肃追究相应责任。</w:t>
      </w:r>
    </w:p>
    <w:p>
      <w:pPr>
        <w:pageBreakBefore w:val="0"/>
        <w:numPr>
          <w:ilvl w:val="0"/>
          <w:numId w:val="1"/>
        </w:numPr>
        <w:kinsoku/>
        <w:overflowPunct/>
        <w:topLinePunct w:val="0"/>
        <w:autoSpaceDE/>
        <w:autoSpaceDN/>
        <w:bidi w:val="0"/>
        <w:spacing w:line="500" w:lineRule="exact"/>
        <w:ind w:firstLine="640" w:firstLineChars="200"/>
        <w:rPr>
          <w:rFonts w:ascii="仿宋" w:hAnsi="仿宋" w:eastAsia="仿宋" w:cs="华文仿宋"/>
          <w:sz w:val="32"/>
          <w:szCs w:val="32"/>
        </w:rPr>
      </w:pPr>
      <w:r>
        <w:rPr>
          <w:rFonts w:hint="eastAsia" w:ascii="仿宋" w:hAnsi="仿宋" w:eastAsia="仿宋" w:cs="华文仿宋"/>
          <w:sz w:val="32"/>
          <w:szCs w:val="32"/>
        </w:rPr>
        <w:t xml:space="preserve"> 本办法由离退休人员工作处负责解释。本办法未尽事宜按照上级有关规定执行；若有与上级有关规定相冲突的，以上级规定为准。</w:t>
      </w:r>
    </w:p>
    <w:p>
      <w:pPr>
        <w:pageBreakBefore w:val="0"/>
        <w:numPr>
          <w:ilvl w:val="0"/>
          <w:numId w:val="1"/>
        </w:numPr>
        <w:kinsoku/>
        <w:overflowPunct/>
        <w:topLinePunct w:val="0"/>
        <w:autoSpaceDE/>
        <w:autoSpaceDN/>
        <w:bidi w:val="0"/>
        <w:spacing w:line="500" w:lineRule="exact"/>
        <w:ind w:firstLine="640" w:firstLineChars="200"/>
        <w:rPr>
          <w:rFonts w:ascii="仿宋" w:hAnsi="仿宋" w:eastAsia="仿宋" w:cs="华文仿宋"/>
          <w:sz w:val="32"/>
          <w:szCs w:val="32"/>
        </w:rPr>
      </w:pPr>
      <w:r>
        <w:rPr>
          <w:rFonts w:hint="eastAsia" w:ascii="仿宋" w:hAnsi="仿宋" w:eastAsia="仿宋" w:cs="华文仿宋"/>
          <w:sz w:val="32"/>
          <w:szCs w:val="32"/>
        </w:rPr>
        <w:t xml:space="preserve"> 本办法自发布之日起</w:t>
      </w:r>
      <w:r>
        <w:rPr>
          <w:rFonts w:hint="eastAsia" w:ascii="仿宋" w:hAnsi="仿宋" w:eastAsia="仿宋" w:cs="华文仿宋"/>
          <w:bCs/>
          <w:sz w:val="32"/>
          <w:szCs w:val="32"/>
        </w:rPr>
        <w:t>生效</w:t>
      </w:r>
      <w:r>
        <w:rPr>
          <w:rFonts w:hint="eastAsia" w:ascii="仿宋" w:hAnsi="仿宋" w:eastAsia="仿宋" w:cs="华文仿宋"/>
          <w:sz w:val="32"/>
          <w:szCs w:val="32"/>
        </w:rPr>
        <w:t xml:space="preserve">。                       </w:t>
      </w:r>
    </w:p>
    <w:p>
      <w:pPr>
        <w:pageBreakBefore w:val="0"/>
        <w:kinsoku/>
        <w:overflowPunct/>
        <w:topLinePunct w:val="0"/>
        <w:autoSpaceDE/>
        <w:autoSpaceDN/>
        <w:bidi w:val="0"/>
        <w:spacing w:line="500" w:lineRule="exact"/>
        <w:ind w:left="640"/>
        <w:rPr>
          <w:rFonts w:ascii="仿宋" w:hAnsi="仿宋" w:eastAsia="仿宋" w:cs="华文仿宋"/>
          <w:sz w:val="32"/>
          <w:szCs w:val="32"/>
        </w:rPr>
      </w:pPr>
    </w:p>
    <w:p>
      <w:pPr>
        <w:pageBreakBefore w:val="0"/>
        <w:kinsoku/>
        <w:overflowPunct/>
        <w:topLinePunct w:val="0"/>
        <w:autoSpaceDE/>
        <w:autoSpaceDN/>
        <w:bidi w:val="0"/>
        <w:spacing w:line="500" w:lineRule="exact"/>
        <w:ind w:left="640"/>
        <w:rPr>
          <w:rFonts w:ascii="仿宋" w:hAnsi="仿宋" w:eastAsia="仿宋" w:cs="华文仿宋"/>
          <w:sz w:val="32"/>
          <w:szCs w:val="32"/>
        </w:rPr>
      </w:pPr>
    </w:p>
    <w:p>
      <w:pPr>
        <w:pageBreakBefore w:val="0"/>
        <w:kinsoku/>
        <w:overflowPunct/>
        <w:topLinePunct w:val="0"/>
        <w:autoSpaceDE/>
        <w:autoSpaceDN/>
        <w:bidi w:val="0"/>
        <w:spacing w:line="500" w:lineRule="exact"/>
        <w:ind w:left="640"/>
        <w:rPr>
          <w:rFonts w:ascii="仿宋" w:hAnsi="仿宋" w:eastAsia="仿宋" w:cs="华文仿宋"/>
          <w:sz w:val="32"/>
          <w:szCs w:val="32"/>
        </w:rPr>
      </w:pPr>
    </w:p>
    <w:p>
      <w:pPr>
        <w:pageBreakBefore w:val="0"/>
        <w:kinsoku/>
        <w:overflowPunct/>
        <w:topLinePunct w:val="0"/>
        <w:autoSpaceDE/>
        <w:autoSpaceDN/>
        <w:bidi w:val="0"/>
        <w:spacing w:line="500" w:lineRule="exact"/>
        <w:ind w:left="640"/>
        <w:rPr>
          <w:rFonts w:ascii="仿宋" w:hAnsi="仿宋" w:eastAsia="仿宋" w:cs="华文仿宋"/>
          <w:sz w:val="32"/>
          <w:szCs w:val="32"/>
        </w:rPr>
      </w:pPr>
    </w:p>
    <w:p>
      <w:pPr>
        <w:pageBreakBefore w:val="0"/>
        <w:kinsoku/>
        <w:overflowPunct/>
        <w:topLinePunct w:val="0"/>
        <w:autoSpaceDE/>
        <w:autoSpaceDN/>
        <w:bidi w:val="0"/>
        <w:spacing w:line="500" w:lineRule="exact"/>
        <w:ind w:left="640"/>
        <w:rPr>
          <w:rFonts w:ascii="仿宋" w:hAnsi="仿宋" w:eastAsia="仿宋" w:cs="华文仿宋"/>
          <w:sz w:val="32"/>
          <w:szCs w:val="32"/>
        </w:rPr>
      </w:pPr>
    </w:p>
    <w:p>
      <w:pPr>
        <w:pageBreakBefore w:val="0"/>
        <w:kinsoku/>
        <w:overflowPunct/>
        <w:topLinePunct w:val="0"/>
        <w:autoSpaceDE/>
        <w:autoSpaceDN/>
        <w:bidi w:val="0"/>
        <w:spacing w:line="500" w:lineRule="exact"/>
        <w:ind w:left="640" w:firstLine="2560" w:firstLineChars="800"/>
        <w:rPr>
          <w:rFonts w:ascii="仿宋" w:hAnsi="仿宋" w:eastAsia="仿宋" w:cs="华文仿宋"/>
          <w:sz w:val="32"/>
          <w:szCs w:val="32"/>
        </w:rPr>
      </w:pPr>
      <w:r>
        <w:rPr>
          <w:rFonts w:hint="eastAsia" w:ascii="仿宋" w:hAnsi="仿宋" w:eastAsia="仿宋" w:cs="华文仿宋"/>
          <w:sz w:val="32"/>
          <w:szCs w:val="32"/>
        </w:rPr>
        <w:t>江西财经大学离退休人员工作处</w:t>
      </w:r>
    </w:p>
    <w:p>
      <w:pPr>
        <w:pageBreakBefore w:val="0"/>
        <w:kinsoku/>
        <w:overflowPunct/>
        <w:topLinePunct w:val="0"/>
        <w:autoSpaceDE/>
        <w:autoSpaceDN/>
        <w:bidi w:val="0"/>
        <w:spacing w:line="500" w:lineRule="exact"/>
        <w:ind w:left="640" w:firstLine="3360" w:firstLineChars="1050"/>
        <w:rPr>
          <w:rFonts w:ascii="仿宋" w:hAnsi="仿宋" w:eastAsia="仿宋" w:cs="华文仿宋"/>
          <w:sz w:val="32"/>
          <w:szCs w:val="32"/>
        </w:rPr>
      </w:pPr>
    </w:p>
    <w:p>
      <w:pPr>
        <w:pageBreakBefore w:val="0"/>
        <w:kinsoku/>
        <w:overflowPunct/>
        <w:topLinePunct w:val="0"/>
        <w:autoSpaceDE/>
        <w:autoSpaceDN/>
        <w:bidi w:val="0"/>
        <w:spacing w:line="500" w:lineRule="exact"/>
        <w:ind w:left="640" w:firstLine="3520" w:firstLineChars="1100"/>
        <w:rPr>
          <w:rFonts w:ascii="仿宋" w:hAnsi="仿宋" w:eastAsia="仿宋" w:cs="华文仿宋"/>
          <w:sz w:val="32"/>
          <w:szCs w:val="32"/>
        </w:rPr>
      </w:pPr>
      <w:r>
        <w:rPr>
          <w:rFonts w:ascii="仿宋" w:hAnsi="仿宋" w:eastAsia="仿宋" w:cs="华文仿宋"/>
          <w:sz w:val="32"/>
          <w:szCs w:val="32"/>
        </w:rPr>
        <w:t>2020年</w:t>
      </w:r>
      <w:r>
        <w:rPr>
          <w:rFonts w:hint="eastAsia" w:ascii="仿宋" w:hAnsi="仿宋" w:eastAsia="仿宋" w:cs="华文仿宋"/>
          <w:sz w:val="32"/>
          <w:szCs w:val="32"/>
        </w:rPr>
        <w:t>7</w:t>
      </w:r>
      <w:r>
        <w:rPr>
          <w:rFonts w:ascii="仿宋" w:hAnsi="仿宋" w:eastAsia="仿宋" w:cs="华文仿宋"/>
          <w:sz w:val="32"/>
          <w:szCs w:val="32"/>
        </w:rPr>
        <w:t>月</w:t>
      </w:r>
      <w:r>
        <w:rPr>
          <w:rFonts w:hint="eastAsia" w:ascii="仿宋" w:hAnsi="仿宋" w:eastAsia="仿宋" w:cs="华文仿宋"/>
          <w:sz w:val="32"/>
          <w:szCs w:val="32"/>
        </w:rPr>
        <w:t>15</w:t>
      </w:r>
      <w:r>
        <w:rPr>
          <w:rFonts w:ascii="仿宋" w:hAnsi="仿宋" w:eastAsia="仿宋" w:cs="华文仿宋"/>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7771A"/>
    <w:multiLevelType w:val="singleLevel"/>
    <w:tmpl w:val="4627771A"/>
    <w:lvl w:ilvl="0" w:tentative="0">
      <w:start w:val="1"/>
      <w:numFmt w:val="chineseCounting"/>
      <w:suff w:val="space"/>
      <w:lvlText w:val="第%1条"/>
      <w:lvlJc w:val="left"/>
      <w:rPr>
        <w:rFonts w:hint="eastAsia"/>
        <w:b/>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3508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jianghui</dc:creator>
  <cp:lastModifiedBy>1200600735</cp:lastModifiedBy>
  <dcterms:modified xsi:type="dcterms:W3CDTF">2020-07-22T04:47:06Z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